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330F" w14:textId="63130F2D" w:rsidR="002D57D6" w:rsidRPr="002D57D6" w:rsidRDefault="002D57D6" w:rsidP="002D57D6">
      <w:pPr>
        <w:tabs>
          <w:tab w:val="num" w:pos="720"/>
        </w:tabs>
        <w:spacing w:after="0" w:line="240" w:lineRule="auto"/>
        <w:ind w:left="465" w:right="210" w:hanging="360"/>
        <w:jc w:val="center"/>
        <w:rPr>
          <w:rFonts w:ascii="Century Schoolbook" w:hAnsi="Century Schoolbook"/>
          <w:b/>
        </w:rPr>
      </w:pPr>
      <w:r w:rsidRPr="002D57D6">
        <w:rPr>
          <w:rFonts w:ascii="Century Schoolbook" w:hAnsi="Century Schoolbook"/>
          <w:b/>
        </w:rPr>
        <w:t>Active Listening</w:t>
      </w:r>
    </w:p>
    <w:p w14:paraId="0CB63411" w14:textId="77777777" w:rsidR="002D57D6" w:rsidRDefault="002D57D6" w:rsidP="002D57D6">
      <w:pPr>
        <w:tabs>
          <w:tab w:val="num" w:pos="720"/>
        </w:tabs>
        <w:spacing w:after="0" w:line="240" w:lineRule="auto"/>
        <w:ind w:left="465" w:right="210" w:hanging="360"/>
      </w:pPr>
    </w:p>
    <w:p w14:paraId="147E4B3A" w14:textId="7FC4DD32" w:rsid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Pr>
          <w:rFonts w:ascii="Georgia" w:eastAsia="Times New Roman" w:hAnsi="Georgia" w:cs="Times New Roman"/>
          <w:b/>
          <w:bCs/>
          <w:color w:val="000000"/>
          <w:sz w:val="21"/>
          <w:szCs w:val="21"/>
        </w:rPr>
        <w:t>P</w:t>
      </w:r>
      <w:r w:rsidRPr="002D57D6">
        <w:rPr>
          <w:rFonts w:ascii="Georgia" w:eastAsia="Times New Roman" w:hAnsi="Georgia" w:cs="Times New Roman"/>
          <w:b/>
          <w:bCs/>
          <w:color w:val="000000"/>
          <w:sz w:val="21"/>
          <w:szCs w:val="21"/>
        </w:rPr>
        <w:t>araphrase.</w:t>
      </w:r>
      <w:r w:rsidRPr="002D57D6">
        <w:rPr>
          <w:rFonts w:ascii="Georgia" w:eastAsia="Times New Roman" w:hAnsi="Georgia" w:cs="Times New Roman"/>
          <w:color w:val="000000"/>
          <w:sz w:val="21"/>
          <w:szCs w:val="21"/>
        </w:rPr>
        <w:t> Once the other person has finished expressing a thought, paraphrase what he or she said to make sure you understand and to show that you are paying attention. Helpful ways to paraphrase include “What I hear you saying is…” “It sounds like…” and “If I understand you right….”</w:t>
      </w:r>
    </w:p>
    <w:p w14:paraId="3E66D3F4"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4C18AB7D" w14:textId="09DE1D2C" w:rsid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Ask questions. </w:t>
      </w:r>
      <w:r w:rsidRPr="002D57D6">
        <w:rPr>
          <w:rFonts w:ascii="Georgia" w:eastAsia="Times New Roman" w:hAnsi="Georgia" w:cs="Times New Roman"/>
          <w:color w:val="000000"/>
          <w:sz w:val="21"/>
          <w:szCs w:val="21"/>
        </w:rPr>
        <w:t>When appropriate, ask questions to encourage the other person to elaborate on his or her thoughts and feelings. Avoid jumping to conclusions about what the other person means. Instead, ask questions to clarify his or her meaning, such as, “When you say_____, do you mean_____”? </w:t>
      </w:r>
    </w:p>
    <w:p w14:paraId="2911D92F"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6977B5D2" w14:textId="340D8AA3" w:rsid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Express empathy.</w:t>
      </w:r>
      <w:r w:rsidRPr="002D57D6">
        <w:rPr>
          <w:rFonts w:ascii="Georgia" w:eastAsia="Times New Roman" w:hAnsi="Georgia" w:cs="Times New Roman"/>
          <w:color w:val="000000"/>
          <w:sz w:val="21"/>
          <w:szCs w:val="21"/>
        </w:rPr>
        <w:t> If the other person voices negative feelings, strive to validate these feelings rather than questioning or defending against them. For example, if the speaker expresses frustration, try to consider why he or she feels that way, regardless of whether you think that feeling is justified or whether you would feel that way yourself were you in his or her position. You might respond, “I can sense that you’re feeling frustrated,” and even “I can understand how that situation could cause frustration.”</w:t>
      </w:r>
    </w:p>
    <w:p w14:paraId="068C4EAF"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5E99F180" w14:textId="3E511253" w:rsidR="002D57D6" w:rsidRP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Use engaged body language.</w:t>
      </w:r>
      <w:r w:rsidRPr="002D57D6">
        <w:rPr>
          <w:rFonts w:ascii="Georgia" w:eastAsia="Times New Roman" w:hAnsi="Georgia" w:cs="Times New Roman"/>
          <w:color w:val="000000"/>
          <w:sz w:val="21"/>
          <w:szCs w:val="21"/>
        </w:rPr>
        <w:t> Show that you are engaged and interested by making eye contact, nodding, facing the other person, and maintaining an open and relaxed body posture. Avoid attending to distractions in your environment or checking your phone. Be mindful of your facial expressions: Avoid expressions that might communicate disapproval or disgust.</w:t>
      </w:r>
    </w:p>
    <w:p w14:paraId="2A42C55B"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4C6B02D4" w14:textId="52D2933D" w:rsid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Avoid judgment.</w:t>
      </w:r>
      <w:r w:rsidRPr="002D57D6">
        <w:rPr>
          <w:rFonts w:ascii="Georgia" w:eastAsia="Times New Roman" w:hAnsi="Georgia" w:cs="Times New Roman"/>
          <w:color w:val="000000"/>
          <w:sz w:val="21"/>
          <w:szCs w:val="21"/>
        </w:rPr>
        <w:t> Your goal is to understand the other person’s perspective and accept it for what it is, even if you disagree with it. Try not to interrupt with counter-arguments or mentally prepare a rebuttal while the other person is speaking.</w:t>
      </w:r>
    </w:p>
    <w:p w14:paraId="73677FE5"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3D218D44" w14:textId="63512282" w:rsidR="002D57D6" w:rsidRP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Avoid giving advice.</w:t>
      </w:r>
      <w:r w:rsidRPr="002D57D6">
        <w:rPr>
          <w:rFonts w:ascii="Georgia" w:eastAsia="Times New Roman" w:hAnsi="Georgia" w:cs="Times New Roman"/>
          <w:color w:val="000000"/>
          <w:sz w:val="21"/>
          <w:szCs w:val="21"/>
        </w:rPr>
        <w:t> Problem-solving is likely to be more effective after both conversation partners understand one another’s perspective and feel heard. Moving too quickly into advice-giving can be counterproductive. </w:t>
      </w:r>
    </w:p>
    <w:p w14:paraId="475258B2" w14:textId="77777777" w:rsidR="002D57D6" w:rsidRPr="002D57D6" w:rsidRDefault="002D57D6" w:rsidP="002D57D6">
      <w:pPr>
        <w:spacing w:after="0" w:line="240" w:lineRule="auto"/>
        <w:ind w:left="465" w:right="210"/>
        <w:rPr>
          <w:rFonts w:ascii="Georgia" w:eastAsia="Times New Roman" w:hAnsi="Georgia" w:cs="Times New Roman"/>
          <w:color w:val="000000"/>
          <w:sz w:val="21"/>
          <w:szCs w:val="21"/>
        </w:rPr>
      </w:pPr>
    </w:p>
    <w:p w14:paraId="17C5E1B3" w14:textId="0E5B657D" w:rsidR="002D57D6" w:rsidRPr="002D57D6" w:rsidRDefault="002D57D6" w:rsidP="002D57D6">
      <w:pPr>
        <w:numPr>
          <w:ilvl w:val="0"/>
          <w:numId w:val="1"/>
        </w:numPr>
        <w:spacing w:after="0" w:line="240" w:lineRule="auto"/>
        <w:ind w:left="465" w:right="210"/>
        <w:rPr>
          <w:rFonts w:ascii="Georgia" w:eastAsia="Times New Roman" w:hAnsi="Georgia" w:cs="Times New Roman"/>
          <w:color w:val="000000"/>
          <w:sz w:val="21"/>
          <w:szCs w:val="21"/>
        </w:rPr>
      </w:pPr>
      <w:r w:rsidRPr="002D57D6">
        <w:rPr>
          <w:rFonts w:ascii="Georgia" w:eastAsia="Times New Roman" w:hAnsi="Georgia" w:cs="Times New Roman"/>
          <w:b/>
          <w:bCs/>
          <w:color w:val="000000"/>
          <w:sz w:val="21"/>
          <w:szCs w:val="21"/>
        </w:rPr>
        <w:t>Take turns. </w:t>
      </w:r>
      <w:r w:rsidRPr="002D57D6">
        <w:rPr>
          <w:rFonts w:ascii="Georgia" w:eastAsia="Times New Roman" w:hAnsi="Georgia" w:cs="Times New Roman"/>
          <w:color w:val="000000"/>
          <w:sz w:val="21"/>
          <w:szCs w:val="21"/>
        </w:rPr>
        <w:t>A</w:t>
      </w:r>
      <w:r>
        <w:rPr>
          <w:rFonts w:ascii="Georgia" w:eastAsia="Times New Roman" w:hAnsi="Georgia" w:cs="Times New Roman"/>
          <w:color w:val="000000"/>
          <w:sz w:val="21"/>
          <w:szCs w:val="21"/>
        </w:rPr>
        <w:t>f</w:t>
      </w:r>
      <w:r w:rsidRPr="002D57D6">
        <w:rPr>
          <w:rFonts w:ascii="Georgia" w:eastAsia="Times New Roman" w:hAnsi="Georgia" w:cs="Times New Roman"/>
          <w:color w:val="000000"/>
          <w:sz w:val="21"/>
          <w:szCs w:val="21"/>
        </w:rPr>
        <w:t xml:space="preserve">ter the other person has had a chance to speak and you have engaged in the active listening steps above, ask if it’s okay for you to share your perspective. When sharing your perspective, express yourself as clearly as possible using </w:t>
      </w:r>
      <w:bookmarkStart w:id="0" w:name="_GoBack"/>
      <w:r w:rsidRPr="002D57D6">
        <w:rPr>
          <w:rFonts w:ascii="Georgia" w:eastAsia="Times New Roman" w:hAnsi="Georgia" w:cs="Times New Roman"/>
          <w:b/>
          <w:color w:val="000000"/>
          <w:sz w:val="21"/>
          <w:szCs w:val="21"/>
        </w:rPr>
        <w:t>“I” statements</w:t>
      </w:r>
      <w:r w:rsidRPr="002D57D6">
        <w:rPr>
          <w:rFonts w:ascii="Georgia" w:eastAsia="Times New Roman" w:hAnsi="Georgia" w:cs="Times New Roman"/>
          <w:color w:val="000000"/>
          <w:sz w:val="21"/>
          <w:szCs w:val="21"/>
        </w:rPr>
        <w:t xml:space="preserve"> </w:t>
      </w:r>
      <w:bookmarkEnd w:id="0"/>
      <w:r w:rsidRPr="002D57D6">
        <w:rPr>
          <w:rFonts w:ascii="Georgia" w:eastAsia="Times New Roman" w:hAnsi="Georgia" w:cs="Times New Roman"/>
          <w:color w:val="000000"/>
          <w:sz w:val="21"/>
          <w:szCs w:val="21"/>
        </w:rPr>
        <w:t>(e.g., “I feel overwhelmed when you don’t help out around the house”). It may also be helpful, when relevant, to express empathy for the other person’s perspective (e.g., “I know you’ve been very busy lately and don’t mean to leave me hanging…”).</w:t>
      </w:r>
    </w:p>
    <w:p w14:paraId="63841069" w14:textId="77777777" w:rsidR="002D57D6" w:rsidRDefault="002D57D6"/>
    <w:sectPr w:rsidR="002D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927A2"/>
    <w:multiLevelType w:val="multilevel"/>
    <w:tmpl w:val="600C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D6"/>
    <w:rsid w:val="002D57D6"/>
    <w:rsid w:val="0034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9E63"/>
  <w15:chartTrackingRefBased/>
  <w15:docId w15:val="{E779E52B-AB6B-44A5-A65B-936AC4B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Hannah M.</dc:creator>
  <cp:keywords/>
  <dc:description/>
  <cp:lastModifiedBy>Hendricks, Hannah M.</cp:lastModifiedBy>
  <cp:revision>1</cp:revision>
  <cp:lastPrinted>2018-12-03T01:20:00Z</cp:lastPrinted>
  <dcterms:created xsi:type="dcterms:W3CDTF">2018-12-03T00:59:00Z</dcterms:created>
  <dcterms:modified xsi:type="dcterms:W3CDTF">2018-12-03T02:01:00Z</dcterms:modified>
</cp:coreProperties>
</file>